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outlineLvl w:val="0"/>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江门市餐具洗涤剂</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spacing w:line="360" w:lineRule="auto"/>
        <w:ind w:firstLine="420" w:firstLineChars="200"/>
        <w:rPr>
          <w:rFonts w:ascii="宋体" w:hAnsi="宋体"/>
          <w:color w:val="000000"/>
          <w:szCs w:val="21"/>
        </w:rPr>
      </w:pPr>
    </w:p>
    <w:p>
      <w:pPr>
        <w:spacing w:line="360" w:lineRule="auto"/>
        <w:ind w:firstLine="420" w:firstLineChars="200"/>
        <w:rPr>
          <w:rFonts w:ascii="宋体" w:hAnsi="宋体"/>
          <w:color w:val="000000"/>
          <w:szCs w:val="21"/>
        </w:rPr>
      </w:pPr>
      <w:r>
        <w:rPr>
          <w:rFonts w:hint="eastAsia" w:ascii="宋体" w:hAnsi="宋体"/>
          <w:color w:val="000000"/>
          <w:szCs w:val="21"/>
        </w:rPr>
        <w:t>本细则适用于江门市生产环节中餐具洗涤剂产品</w:t>
      </w:r>
      <w:r>
        <w:rPr>
          <w:rFonts w:hint="eastAsia" w:ascii="宋体" w:hAnsi="宋体"/>
          <w:color w:val="000000"/>
          <w:szCs w:val="21"/>
          <w:lang w:eastAsia="zh-CN"/>
        </w:rPr>
        <w:t>的市级</w:t>
      </w:r>
      <w:bookmarkStart w:id="0" w:name="_GoBack"/>
      <w:bookmarkEnd w:id="0"/>
      <w:r>
        <w:rPr>
          <w:rFonts w:hint="eastAsia" w:ascii="宋体" w:hAnsi="宋体"/>
          <w:color w:val="000000"/>
          <w:szCs w:val="21"/>
        </w:rPr>
        <w:t>监督抽查。</w:t>
      </w:r>
    </w:p>
    <w:p>
      <w:pPr>
        <w:snapToGrid w:val="0"/>
        <w:spacing w:line="360" w:lineRule="auto"/>
        <w:rPr>
          <w:rFonts w:hint="eastAsia"/>
          <w:b/>
          <w:color w:val="000000"/>
          <w:sz w:val="24"/>
        </w:rPr>
      </w:pPr>
    </w:p>
    <w:p>
      <w:pPr>
        <w:snapToGrid w:val="0"/>
        <w:spacing w:line="360" w:lineRule="auto"/>
        <w:rPr>
          <w:b/>
          <w:color w:val="000000"/>
          <w:sz w:val="24"/>
        </w:rPr>
      </w:pPr>
      <w:r>
        <w:rPr>
          <w:rFonts w:hint="eastAsia"/>
          <w:b/>
          <w:color w:val="000000"/>
          <w:sz w:val="24"/>
        </w:rPr>
        <w:t>1、抽样方法</w:t>
      </w:r>
    </w:p>
    <w:p>
      <w:pPr>
        <w:snapToGrid w:val="0"/>
        <w:spacing w:line="440" w:lineRule="exact"/>
        <w:ind w:firstLine="420" w:firstLineChars="200"/>
        <w:rPr>
          <w:color w:val="000000"/>
          <w:szCs w:val="21"/>
        </w:rPr>
      </w:pPr>
      <w:r>
        <w:rPr>
          <w:rFonts w:hint="eastAsia"/>
          <w:color w:val="000000"/>
          <w:szCs w:val="21"/>
        </w:rPr>
        <w:t>以随机抽样的方式在被抽样生产者、销售者的待销产品中抽取。</w:t>
      </w:r>
    </w:p>
    <w:p>
      <w:pPr>
        <w:snapToGrid w:val="0"/>
        <w:spacing w:line="440" w:lineRule="exact"/>
        <w:ind w:firstLine="420" w:firstLineChars="200"/>
        <w:rPr>
          <w:color w:val="000000"/>
          <w:szCs w:val="21"/>
        </w:rPr>
      </w:pPr>
      <w:r>
        <w:rPr>
          <w:rFonts w:hint="eastAsia"/>
          <w:color w:val="000000"/>
          <w:szCs w:val="21"/>
        </w:rPr>
        <w:t>随机数一般可使用随机数表等方法产生。</w:t>
      </w:r>
    </w:p>
    <w:p>
      <w:pPr>
        <w:snapToGrid w:val="0"/>
        <w:spacing w:line="440" w:lineRule="exact"/>
        <w:ind w:firstLine="420" w:firstLineChars="200"/>
        <w:jc w:val="center"/>
        <w:rPr>
          <w:color w:val="000000"/>
          <w:szCs w:val="21"/>
        </w:rPr>
      </w:pPr>
      <w:r>
        <w:rPr>
          <w:rFonts w:hint="eastAsia"/>
          <w:color w:val="000000"/>
          <w:szCs w:val="21"/>
        </w:rPr>
        <w:t>表1 抽取样品数量</w:t>
      </w:r>
    </w:p>
    <w:tbl>
      <w:tblPr>
        <w:tblStyle w:val="4"/>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2594"/>
        <w:gridCol w:w="3261"/>
        <w:gridCol w:w="1275"/>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jc w:val="center"/>
        </w:trPr>
        <w:tc>
          <w:tcPr>
            <w:tcW w:w="622" w:type="dxa"/>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594" w:type="dxa"/>
            <w:noWrap w:val="0"/>
            <w:vAlign w:val="center"/>
          </w:tcPr>
          <w:p>
            <w:pPr>
              <w:jc w:val="center"/>
              <w:outlineLvl w:val="0"/>
              <w:rPr>
                <w:rFonts w:ascii="宋体" w:hAnsi="宋体"/>
                <w:b/>
                <w:color w:val="000000"/>
                <w:szCs w:val="21"/>
              </w:rPr>
            </w:pPr>
            <w:r>
              <w:rPr>
                <w:rFonts w:hint="eastAsia" w:ascii="宋体" w:hAnsi="宋体"/>
                <w:b/>
                <w:color w:val="000000"/>
                <w:szCs w:val="21"/>
              </w:rPr>
              <w:t>产品种类</w:t>
            </w:r>
          </w:p>
        </w:tc>
        <w:tc>
          <w:tcPr>
            <w:tcW w:w="3261" w:type="dxa"/>
            <w:noWrap w:val="0"/>
            <w:vAlign w:val="center"/>
          </w:tcPr>
          <w:p>
            <w:pPr>
              <w:jc w:val="center"/>
              <w:outlineLvl w:val="0"/>
              <w:rPr>
                <w:rFonts w:ascii="宋体" w:hAnsi="宋体"/>
                <w:b/>
                <w:color w:val="000000"/>
                <w:szCs w:val="21"/>
              </w:rPr>
            </w:pPr>
            <w:r>
              <w:rPr>
                <w:rFonts w:hint="eastAsia" w:ascii="宋体" w:hAnsi="宋体"/>
                <w:b/>
                <w:color w:val="000000"/>
                <w:szCs w:val="21"/>
              </w:rPr>
              <w:t>抽样数量（个）</w:t>
            </w:r>
          </w:p>
        </w:tc>
        <w:tc>
          <w:tcPr>
            <w:tcW w:w="1275" w:type="dxa"/>
            <w:noWrap w:val="0"/>
            <w:vAlign w:val="center"/>
          </w:tcPr>
          <w:p>
            <w:pPr>
              <w:jc w:val="center"/>
              <w:outlineLvl w:val="0"/>
              <w:rPr>
                <w:rFonts w:ascii="宋体" w:hAnsi="宋体"/>
                <w:b/>
                <w:color w:val="000000"/>
                <w:szCs w:val="21"/>
              </w:rPr>
            </w:pPr>
            <w:r>
              <w:rPr>
                <w:rFonts w:ascii="宋体" w:hAnsi="宋体"/>
                <w:b/>
                <w:color w:val="000000"/>
                <w:szCs w:val="21"/>
              </w:rPr>
              <w:t>检验样品</w:t>
            </w:r>
            <w:r>
              <w:rPr>
                <w:rFonts w:hint="eastAsia" w:ascii="宋体" w:hAnsi="宋体"/>
                <w:b/>
                <w:color w:val="000000"/>
                <w:szCs w:val="21"/>
              </w:rPr>
              <w:t>数量（个）</w:t>
            </w:r>
          </w:p>
        </w:tc>
        <w:tc>
          <w:tcPr>
            <w:tcW w:w="1316" w:type="dxa"/>
            <w:noWrap w:val="0"/>
            <w:vAlign w:val="center"/>
          </w:tcPr>
          <w:p>
            <w:pPr>
              <w:jc w:val="center"/>
              <w:outlineLvl w:val="0"/>
              <w:rPr>
                <w:rFonts w:ascii="宋体" w:hAnsi="宋体"/>
                <w:b/>
                <w:color w:val="000000"/>
                <w:szCs w:val="21"/>
              </w:rPr>
            </w:pPr>
            <w:r>
              <w:rPr>
                <w:rFonts w:hint="eastAsia" w:ascii="宋体" w:hAnsi="宋体"/>
                <w:b/>
                <w:color w:val="000000"/>
                <w:szCs w:val="21"/>
              </w:rPr>
              <w:t>备用样品数量（个）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jc w:val="center"/>
        </w:trPr>
        <w:tc>
          <w:tcPr>
            <w:tcW w:w="622" w:type="dxa"/>
            <w:noWrap w:val="0"/>
            <w:vAlign w:val="center"/>
          </w:tcPr>
          <w:p>
            <w:pPr>
              <w:widowControl/>
              <w:jc w:val="center"/>
              <w:textAlignment w:val="center"/>
              <w:rPr>
                <w:rFonts w:cs="宋体"/>
                <w:szCs w:val="21"/>
              </w:rPr>
            </w:pPr>
            <w:r>
              <w:rPr>
                <w:rFonts w:hint="eastAsia" w:cs="宋体"/>
                <w:szCs w:val="21"/>
              </w:rPr>
              <w:t>1</w:t>
            </w:r>
          </w:p>
        </w:tc>
        <w:tc>
          <w:tcPr>
            <w:tcW w:w="2594" w:type="dxa"/>
            <w:noWrap w:val="0"/>
            <w:vAlign w:val="center"/>
          </w:tcPr>
          <w:p>
            <w:pPr>
              <w:widowControl/>
              <w:jc w:val="center"/>
              <w:textAlignment w:val="center"/>
              <w:rPr>
                <w:rFonts w:cs="宋体"/>
                <w:szCs w:val="21"/>
              </w:rPr>
            </w:pPr>
            <w:r>
              <w:rPr>
                <w:rFonts w:hint="eastAsia" w:cs="宋体"/>
                <w:szCs w:val="21"/>
              </w:rPr>
              <w:t>包装规格＜2kg（L）</w:t>
            </w:r>
          </w:p>
        </w:tc>
        <w:tc>
          <w:tcPr>
            <w:tcW w:w="3261" w:type="dxa"/>
            <w:noWrap w:val="0"/>
            <w:vAlign w:val="center"/>
          </w:tcPr>
          <w:p>
            <w:pPr>
              <w:widowControl/>
              <w:jc w:val="center"/>
              <w:textAlignment w:val="center"/>
              <w:rPr>
                <w:rFonts w:cs="宋体"/>
                <w:szCs w:val="21"/>
              </w:rPr>
            </w:pPr>
            <w:r>
              <w:rPr>
                <w:rFonts w:hint="eastAsia" w:cs="宋体"/>
                <w:szCs w:val="21"/>
              </w:rPr>
              <w:t>不少于2kg（L）且不少于6个独立包装</w:t>
            </w:r>
          </w:p>
        </w:tc>
        <w:tc>
          <w:tcPr>
            <w:tcW w:w="1275" w:type="dxa"/>
            <w:noWrap w:val="0"/>
            <w:vAlign w:val="center"/>
          </w:tcPr>
          <w:p>
            <w:pPr>
              <w:widowControl/>
              <w:jc w:val="center"/>
              <w:textAlignment w:val="center"/>
              <w:rPr>
                <w:rFonts w:cs="宋体"/>
                <w:szCs w:val="21"/>
              </w:rPr>
            </w:pPr>
            <w:r>
              <w:rPr>
                <w:rFonts w:hint="eastAsia" w:cs="宋体"/>
                <w:szCs w:val="21"/>
              </w:rPr>
              <w:t>4</w:t>
            </w:r>
          </w:p>
        </w:tc>
        <w:tc>
          <w:tcPr>
            <w:tcW w:w="1316" w:type="dxa"/>
            <w:noWrap w:val="0"/>
            <w:vAlign w:val="center"/>
          </w:tcPr>
          <w:p>
            <w:pPr>
              <w:widowControl/>
              <w:jc w:val="center"/>
              <w:textAlignment w:val="center"/>
              <w:rPr>
                <w:rFonts w:cs="宋体"/>
                <w:szCs w:val="21"/>
              </w:rPr>
            </w:pPr>
            <w:r>
              <w:rPr>
                <w:rFonts w:hint="eastAsia"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jc w:val="center"/>
        </w:trPr>
        <w:tc>
          <w:tcPr>
            <w:tcW w:w="622" w:type="dxa"/>
            <w:noWrap w:val="0"/>
            <w:vAlign w:val="center"/>
          </w:tcPr>
          <w:p>
            <w:pPr>
              <w:widowControl/>
              <w:jc w:val="center"/>
              <w:textAlignment w:val="center"/>
              <w:rPr>
                <w:rFonts w:cs="宋体"/>
                <w:szCs w:val="21"/>
              </w:rPr>
            </w:pPr>
            <w:r>
              <w:rPr>
                <w:rFonts w:hint="eastAsia" w:cs="宋体"/>
                <w:szCs w:val="21"/>
              </w:rPr>
              <w:t>2</w:t>
            </w:r>
          </w:p>
        </w:tc>
        <w:tc>
          <w:tcPr>
            <w:tcW w:w="2594" w:type="dxa"/>
            <w:noWrap w:val="0"/>
            <w:vAlign w:val="center"/>
          </w:tcPr>
          <w:p>
            <w:pPr>
              <w:widowControl/>
              <w:jc w:val="center"/>
              <w:textAlignment w:val="center"/>
              <w:rPr>
                <w:rFonts w:cs="宋体"/>
                <w:szCs w:val="21"/>
              </w:rPr>
            </w:pPr>
            <w:r>
              <w:rPr>
                <w:rFonts w:hint="eastAsia" w:cs="宋体"/>
                <w:szCs w:val="21"/>
              </w:rPr>
              <w:t>包装规格≥2kg（L）且＜10kg（L）的独立包装</w:t>
            </w:r>
          </w:p>
        </w:tc>
        <w:tc>
          <w:tcPr>
            <w:tcW w:w="3261" w:type="dxa"/>
            <w:noWrap w:val="0"/>
            <w:vAlign w:val="center"/>
          </w:tcPr>
          <w:p>
            <w:pPr>
              <w:widowControl/>
              <w:jc w:val="center"/>
              <w:textAlignment w:val="center"/>
              <w:rPr>
                <w:rFonts w:cs="宋体"/>
                <w:szCs w:val="21"/>
              </w:rPr>
            </w:pPr>
            <w:r>
              <w:rPr>
                <w:rFonts w:hint="eastAsia" w:cs="宋体"/>
                <w:szCs w:val="21"/>
              </w:rPr>
              <w:t>不少于3个独立包装</w:t>
            </w:r>
          </w:p>
        </w:tc>
        <w:tc>
          <w:tcPr>
            <w:tcW w:w="1275" w:type="dxa"/>
            <w:noWrap w:val="0"/>
            <w:vAlign w:val="center"/>
          </w:tcPr>
          <w:p>
            <w:pPr>
              <w:widowControl/>
              <w:jc w:val="center"/>
              <w:textAlignment w:val="center"/>
              <w:rPr>
                <w:rFonts w:cs="宋体"/>
                <w:szCs w:val="21"/>
              </w:rPr>
            </w:pPr>
            <w:r>
              <w:rPr>
                <w:rFonts w:hint="eastAsia" w:cs="宋体"/>
                <w:szCs w:val="21"/>
              </w:rPr>
              <w:t>2</w:t>
            </w:r>
          </w:p>
        </w:tc>
        <w:tc>
          <w:tcPr>
            <w:tcW w:w="1316" w:type="dxa"/>
            <w:noWrap w:val="0"/>
            <w:vAlign w:val="center"/>
          </w:tcPr>
          <w:p>
            <w:pPr>
              <w:widowControl/>
              <w:jc w:val="center"/>
              <w:textAlignment w:val="center"/>
              <w:rPr>
                <w:rFonts w:cs="宋体"/>
                <w:szCs w:val="21"/>
              </w:rPr>
            </w:pPr>
            <w:r>
              <w:rPr>
                <w:rFonts w:hint="eastAsia"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jc w:val="center"/>
        </w:trPr>
        <w:tc>
          <w:tcPr>
            <w:tcW w:w="622" w:type="dxa"/>
            <w:noWrap w:val="0"/>
            <w:vAlign w:val="center"/>
          </w:tcPr>
          <w:p>
            <w:pPr>
              <w:widowControl/>
              <w:jc w:val="center"/>
              <w:textAlignment w:val="center"/>
              <w:rPr>
                <w:rFonts w:cs="宋体"/>
                <w:szCs w:val="21"/>
              </w:rPr>
            </w:pPr>
            <w:r>
              <w:rPr>
                <w:rFonts w:hint="eastAsia" w:cs="宋体"/>
                <w:szCs w:val="21"/>
              </w:rPr>
              <w:t>3</w:t>
            </w:r>
          </w:p>
        </w:tc>
        <w:tc>
          <w:tcPr>
            <w:tcW w:w="2594" w:type="dxa"/>
            <w:noWrap w:val="0"/>
            <w:vAlign w:val="center"/>
          </w:tcPr>
          <w:p>
            <w:pPr>
              <w:widowControl/>
              <w:jc w:val="center"/>
              <w:textAlignment w:val="center"/>
              <w:rPr>
                <w:rFonts w:cs="宋体"/>
                <w:szCs w:val="21"/>
              </w:rPr>
            </w:pPr>
            <w:r>
              <w:rPr>
                <w:rFonts w:hint="eastAsia" w:cs="宋体"/>
                <w:szCs w:val="21"/>
              </w:rPr>
              <w:t>包装规格≥10kg（L）的大包装</w:t>
            </w:r>
          </w:p>
        </w:tc>
        <w:tc>
          <w:tcPr>
            <w:tcW w:w="3261" w:type="dxa"/>
            <w:noWrap w:val="0"/>
            <w:vAlign w:val="center"/>
          </w:tcPr>
          <w:p>
            <w:pPr>
              <w:widowControl/>
              <w:jc w:val="center"/>
              <w:textAlignment w:val="center"/>
              <w:rPr>
                <w:rFonts w:cs="宋体"/>
                <w:szCs w:val="21"/>
              </w:rPr>
            </w:pPr>
            <w:r>
              <w:rPr>
                <w:rFonts w:hint="eastAsia" w:cs="宋体"/>
                <w:szCs w:val="21"/>
              </w:rPr>
              <w:t>3个大包装，从每个大包装产品中分别分装成相应小包装样品，每一个小包装量不少于1kg（L）</w:t>
            </w:r>
          </w:p>
        </w:tc>
        <w:tc>
          <w:tcPr>
            <w:tcW w:w="1275" w:type="dxa"/>
            <w:noWrap w:val="0"/>
            <w:vAlign w:val="center"/>
          </w:tcPr>
          <w:p>
            <w:pPr>
              <w:widowControl/>
              <w:jc w:val="center"/>
              <w:textAlignment w:val="center"/>
              <w:rPr>
                <w:rFonts w:cs="宋体"/>
                <w:szCs w:val="21"/>
              </w:rPr>
            </w:pPr>
            <w:r>
              <w:rPr>
                <w:rFonts w:hint="eastAsia" w:cs="宋体"/>
                <w:szCs w:val="21"/>
              </w:rPr>
              <w:t>2</w:t>
            </w:r>
          </w:p>
        </w:tc>
        <w:tc>
          <w:tcPr>
            <w:tcW w:w="1316" w:type="dxa"/>
            <w:noWrap w:val="0"/>
            <w:vAlign w:val="center"/>
          </w:tcPr>
          <w:p>
            <w:pPr>
              <w:widowControl/>
              <w:jc w:val="center"/>
              <w:textAlignment w:val="center"/>
              <w:rPr>
                <w:rFonts w:cs="宋体"/>
                <w:szCs w:val="21"/>
              </w:rPr>
            </w:pPr>
            <w:r>
              <w:rPr>
                <w:rFonts w:hint="eastAsia" w:cs="宋体"/>
                <w:szCs w:val="21"/>
              </w:rPr>
              <w:t>1</w:t>
            </w:r>
          </w:p>
        </w:tc>
      </w:tr>
    </w:tbl>
    <w:p>
      <w:pPr>
        <w:snapToGrid w:val="0"/>
        <w:spacing w:line="360" w:lineRule="auto"/>
        <w:ind w:firstLine="420" w:firstLineChars="200"/>
        <w:rPr>
          <w:color w:val="000000"/>
          <w:szCs w:val="21"/>
        </w:rPr>
      </w:pPr>
    </w:p>
    <w:p>
      <w:pPr>
        <w:snapToGrid w:val="0"/>
        <w:spacing w:line="360" w:lineRule="auto"/>
        <w:rPr>
          <w:b/>
          <w:color w:val="000000"/>
          <w:sz w:val="24"/>
        </w:rPr>
      </w:pPr>
      <w:r>
        <w:rPr>
          <w:rFonts w:hint="eastAsia"/>
          <w:b/>
          <w:color w:val="000000"/>
          <w:sz w:val="24"/>
        </w:rPr>
        <w:t>2、检验依据</w:t>
      </w:r>
    </w:p>
    <w:p>
      <w:pPr>
        <w:snapToGrid w:val="0"/>
        <w:spacing w:line="440" w:lineRule="exact"/>
        <w:jc w:val="center"/>
        <w:rPr>
          <w:rFonts w:cs="宋体"/>
          <w:color w:val="000000"/>
        </w:rPr>
      </w:pPr>
      <w:r>
        <w:rPr>
          <w:rFonts w:hint="eastAsia" w:cs="宋体"/>
          <w:color w:val="000000"/>
        </w:rPr>
        <w:t>表2 餐具洗涤剂检验项目</w:t>
      </w:r>
    </w:p>
    <w:tbl>
      <w:tblPr>
        <w:tblStyle w:val="4"/>
        <w:tblW w:w="900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7"/>
        <w:gridCol w:w="2775"/>
        <w:gridCol w:w="2695"/>
        <w:gridCol w:w="27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55" w:hRule="atLeast"/>
          <w:jc w:val="center"/>
        </w:trPr>
        <w:tc>
          <w:tcPr>
            <w:tcW w:w="737" w:type="dxa"/>
            <w:noWrap w:val="0"/>
            <w:vAlign w:val="center"/>
          </w:tcPr>
          <w:p>
            <w:pPr>
              <w:jc w:val="center"/>
              <w:outlineLvl w:val="0"/>
              <w:rPr>
                <w:rFonts w:ascii="宋体" w:hAnsi="宋体"/>
                <w:b/>
                <w:color w:val="000000"/>
                <w:szCs w:val="21"/>
              </w:rPr>
            </w:pPr>
            <w:r>
              <w:rPr>
                <w:rFonts w:hint="eastAsia" w:ascii="宋体" w:hAnsi="宋体"/>
                <w:b/>
                <w:color w:val="000000"/>
                <w:szCs w:val="21"/>
              </w:rPr>
              <w:t>序号</w:t>
            </w:r>
          </w:p>
        </w:tc>
        <w:tc>
          <w:tcPr>
            <w:tcW w:w="2775" w:type="dxa"/>
            <w:noWrap w:val="0"/>
            <w:vAlign w:val="center"/>
          </w:tcPr>
          <w:p>
            <w:pPr>
              <w:jc w:val="center"/>
              <w:outlineLvl w:val="0"/>
              <w:rPr>
                <w:rFonts w:ascii="宋体" w:hAnsi="宋体"/>
                <w:b/>
                <w:color w:val="000000"/>
                <w:szCs w:val="21"/>
              </w:rPr>
            </w:pPr>
            <w:r>
              <w:rPr>
                <w:rFonts w:hint="eastAsia" w:ascii="宋体" w:hAnsi="宋体"/>
                <w:b/>
                <w:color w:val="000000"/>
                <w:szCs w:val="21"/>
              </w:rPr>
              <w:t>检验项目</w:t>
            </w:r>
          </w:p>
        </w:tc>
        <w:tc>
          <w:tcPr>
            <w:tcW w:w="2695" w:type="dxa"/>
            <w:noWrap w:val="0"/>
            <w:vAlign w:val="center"/>
          </w:tcPr>
          <w:p>
            <w:pPr>
              <w:jc w:val="center"/>
              <w:outlineLvl w:val="0"/>
              <w:rPr>
                <w:rFonts w:ascii="宋体" w:hAnsi="宋体"/>
                <w:b/>
                <w:color w:val="000000"/>
                <w:szCs w:val="21"/>
              </w:rPr>
            </w:pPr>
            <w:r>
              <w:rPr>
                <w:rFonts w:hint="eastAsia" w:ascii="宋体" w:hAnsi="宋体"/>
                <w:b/>
                <w:color w:val="000000"/>
                <w:szCs w:val="21"/>
              </w:rPr>
              <w:t>检验依据</w:t>
            </w:r>
          </w:p>
        </w:tc>
        <w:tc>
          <w:tcPr>
            <w:tcW w:w="2796" w:type="dxa"/>
            <w:noWrap w:val="0"/>
            <w:vAlign w:val="center"/>
          </w:tcPr>
          <w:p>
            <w:pPr>
              <w:jc w:val="center"/>
              <w:outlineLvl w:val="0"/>
              <w:rPr>
                <w:rFonts w:ascii="宋体" w:hAnsi="宋体"/>
                <w:b/>
                <w:color w:val="000000"/>
                <w:szCs w:val="21"/>
              </w:rPr>
            </w:pPr>
            <w:r>
              <w:rPr>
                <w:rFonts w:hint="eastAsia" w:ascii="宋体" w:hAnsi="宋体"/>
                <w:b/>
                <w:color w:val="000000"/>
                <w:szCs w:val="21"/>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16" w:hRule="atLeast"/>
          <w:jc w:val="center"/>
        </w:trPr>
        <w:tc>
          <w:tcPr>
            <w:tcW w:w="737" w:type="dxa"/>
            <w:noWrap w:val="0"/>
            <w:vAlign w:val="center"/>
          </w:tcPr>
          <w:p>
            <w:pPr>
              <w:adjustRightInd w:val="0"/>
              <w:snapToGrid w:val="0"/>
              <w:jc w:val="center"/>
              <w:rPr>
                <w:rFonts w:cs="宋体"/>
                <w:szCs w:val="21"/>
              </w:rPr>
            </w:pPr>
            <w:r>
              <w:rPr>
                <w:rFonts w:hint="eastAsia" w:cs="宋体"/>
                <w:szCs w:val="21"/>
              </w:rPr>
              <w:t>1</w:t>
            </w:r>
          </w:p>
        </w:tc>
        <w:tc>
          <w:tcPr>
            <w:tcW w:w="2775" w:type="dxa"/>
            <w:noWrap w:val="0"/>
            <w:vAlign w:val="center"/>
          </w:tcPr>
          <w:p>
            <w:pPr>
              <w:adjustRightInd w:val="0"/>
              <w:snapToGrid w:val="0"/>
              <w:jc w:val="center"/>
              <w:rPr>
                <w:rFonts w:cs="宋体"/>
                <w:szCs w:val="21"/>
              </w:rPr>
            </w:pPr>
            <w:r>
              <w:rPr>
                <w:rFonts w:hint="eastAsia" w:cs="宋体"/>
                <w:szCs w:val="21"/>
              </w:rPr>
              <w:t>感官</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hint="eastAsia" w:cs="宋体"/>
                <w:szCs w:val="21"/>
              </w:rPr>
              <w:t>GB/T 9985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03" w:hRule="atLeast"/>
          <w:jc w:val="center"/>
        </w:trPr>
        <w:tc>
          <w:tcPr>
            <w:tcW w:w="737" w:type="dxa"/>
            <w:noWrap w:val="0"/>
            <w:vAlign w:val="center"/>
          </w:tcPr>
          <w:p>
            <w:pPr>
              <w:adjustRightInd w:val="0"/>
              <w:snapToGrid w:val="0"/>
              <w:jc w:val="center"/>
              <w:rPr>
                <w:rFonts w:cs="宋体"/>
                <w:szCs w:val="21"/>
              </w:rPr>
            </w:pPr>
            <w:r>
              <w:rPr>
                <w:rFonts w:hint="eastAsia" w:cs="宋体"/>
                <w:szCs w:val="21"/>
              </w:rPr>
              <w:t>2</w:t>
            </w:r>
          </w:p>
        </w:tc>
        <w:tc>
          <w:tcPr>
            <w:tcW w:w="2775" w:type="dxa"/>
            <w:noWrap w:val="0"/>
            <w:vAlign w:val="center"/>
          </w:tcPr>
          <w:p>
            <w:pPr>
              <w:adjustRightInd w:val="0"/>
              <w:snapToGrid w:val="0"/>
              <w:jc w:val="center"/>
              <w:rPr>
                <w:rFonts w:cs="宋体"/>
                <w:szCs w:val="21"/>
              </w:rPr>
            </w:pPr>
            <w:r>
              <w:rPr>
                <w:rFonts w:hint="eastAsia" w:cs="宋体"/>
                <w:szCs w:val="21"/>
              </w:rPr>
              <w:t>总活性物含量</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hint="eastAsia" w:cs="宋体"/>
                <w:szCs w:val="21"/>
              </w:rPr>
              <w:t>GB/T 9985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bottom w:val="single" w:color="auto" w:sz="4" w:space="0"/>
            </w:tcBorders>
            <w:noWrap w:val="0"/>
            <w:vAlign w:val="center"/>
          </w:tcPr>
          <w:p>
            <w:pPr>
              <w:adjustRightInd w:val="0"/>
              <w:snapToGrid w:val="0"/>
              <w:jc w:val="center"/>
              <w:rPr>
                <w:rFonts w:cs="宋体"/>
                <w:szCs w:val="21"/>
              </w:rPr>
            </w:pPr>
            <w:r>
              <w:rPr>
                <w:rFonts w:hint="eastAsia" w:cs="宋体"/>
                <w:szCs w:val="21"/>
              </w:rPr>
              <w:t>3</w:t>
            </w:r>
          </w:p>
        </w:tc>
        <w:tc>
          <w:tcPr>
            <w:tcW w:w="2775" w:type="dxa"/>
            <w:tcBorders>
              <w:bottom w:val="single" w:color="auto" w:sz="4" w:space="0"/>
            </w:tcBorders>
            <w:noWrap w:val="0"/>
            <w:vAlign w:val="center"/>
          </w:tcPr>
          <w:p>
            <w:pPr>
              <w:adjustRightInd w:val="0"/>
              <w:snapToGrid w:val="0"/>
              <w:jc w:val="center"/>
              <w:rPr>
                <w:rFonts w:cs="宋体"/>
                <w:szCs w:val="21"/>
              </w:rPr>
            </w:pPr>
            <w:r>
              <w:rPr>
                <w:rFonts w:hint="eastAsia" w:cs="宋体"/>
                <w:szCs w:val="21"/>
              </w:rPr>
              <w:t>pH</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hint="eastAsia" w:cs="宋体"/>
                <w:szCs w:val="21"/>
              </w:rPr>
              <w:t>GB/T 6368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4</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去污力</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hint="eastAsia" w:cs="宋体"/>
                <w:szCs w:val="21"/>
              </w:rPr>
              <w:t>GB/T 9985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5</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荧光增白剂</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hint="eastAsia" w:cs="宋体"/>
                <w:szCs w:val="21"/>
              </w:rPr>
              <w:t>GB/T 9985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6</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甲醇</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cs="宋体"/>
                <w:szCs w:val="21"/>
              </w:rPr>
              <w:t>GB/T 30795-2014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7</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甲醛</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cs="宋体"/>
                <w:szCs w:val="21"/>
              </w:rPr>
              <w:t>GB/T 9985-2000</w:t>
            </w:r>
          </w:p>
          <w:p>
            <w:pPr>
              <w:adjustRightInd w:val="0"/>
              <w:snapToGrid w:val="0"/>
              <w:jc w:val="center"/>
              <w:rPr>
                <w:rFonts w:cs="宋体"/>
                <w:szCs w:val="21"/>
              </w:rPr>
            </w:pPr>
            <w:r>
              <w:rPr>
                <w:rFonts w:hint="eastAsia" w:cs="宋体"/>
                <w:szCs w:val="21"/>
              </w:rPr>
              <w:t>附录</w:t>
            </w:r>
            <w:r>
              <w:rPr>
                <w:rFonts w:cs="宋体"/>
                <w:szCs w:val="21"/>
              </w:rPr>
              <w:t>E</w:t>
            </w:r>
          </w:p>
          <w:p>
            <w:pPr>
              <w:adjustRightInd w:val="0"/>
              <w:snapToGrid w:val="0"/>
              <w:jc w:val="center"/>
              <w:rPr>
                <w:rFonts w:cs="宋体"/>
                <w:szCs w:val="21"/>
              </w:rPr>
            </w:pPr>
            <w:r>
              <w:rPr>
                <w:rFonts w:cs="宋体"/>
                <w:szCs w:val="21"/>
              </w:rPr>
              <w:t>GB/T 30796-2014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8</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砷（以As计）</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cs="宋体"/>
                <w:szCs w:val="21"/>
              </w:rPr>
              <w:t>GB/T 30797-2014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9</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重金属（以Pb计）</w:t>
            </w:r>
          </w:p>
        </w:tc>
        <w:tc>
          <w:tcPr>
            <w:tcW w:w="2695" w:type="dxa"/>
            <w:noWrap w:val="0"/>
            <w:vAlign w:val="center"/>
          </w:tcPr>
          <w:p>
            <w:pPr>
              <w:widowControl/>
              <w:jc w:val="center"/>
              <w:textAlignment w:val="center"/>
              <w:rPr>
                <w:rFonts w:cs="宋体"/>
                <w:szCs w:val="21"/>
              </w:rPr>
            </w:pPr>
            <w:r>
              <w:rPr>
                <w:rFonts w:hint="eastAsia" w:cs="宋体"/>
                <w:szCs w:val="21"/>
              </w:rPr>
              <w:t>GB/T 9985</w:t>
            </w:r>
          </w:p>
        </w:tc>
        <w:tc>
          <w:tcPr>
            <w:tcW w:w="2796" w:type="dxa"/>
            <w:noWrap w:val="0"/>
            <w:vAlign w:val="center"/>
          </w:tcPr>
          <w:p>
            <w:pPr>
              <w:adjustRightInd w:val="0"/>
              <w:snapToGrid w:val="0"/>
              <w:jc w:val="center"/>
              <w:rPr>
                <w:rFonts w:cs="宋体"/>
                <w:szCs w:val="21"/>
              </w:rPr>
            </w:pPr>
            <w:r>
              <w:rPr>
                <w:rFonts w:cs="宋体"/>
                <w:szCs w:val="21"/>
              </w:rPr>
              <w:t>GB/T 30799-2014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10</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菌落总数</w:t>
            </w:r>
          </w:p>
        </w:tc>
        <w:tc>
          <w:tcPr>
            <w:tcW w:w="2695" w:type="dxa"/>
            <w:noWrap w:val="0"/>
            <w:vAlign w:val="center"/>
          </w:tcPr>
          <w:p>
            <w:pPr>
              <w:widowControl/>
              <w:jc w:val="center"/>
              <w:textAlignment w:val="center"/>
              <w:rPr>
                <w:rFonts w:cs="宋体"/>
                <w:szCs w:val="21"/>
              </w:rPr>
            </w:pPr>
            <w:r>
              <w:rPr>
                <w:rFonts w:hint="eastAsia" w:cs="宋体"/>
                <w:szCs w:val="21"/>
              </w:rPr>
              <w:t>GB 14930.1</w:t>
            </w:r>
          </w:p>
        </w:tc>
        <w:tc>
          <w:tcPr>
            <w:tcW w:w="2796" w:type="dxa"/>
            <w:noWrap w:val="0"/>
            <w:vAlign w:val="center"/>
          </w:tcPr>
          <w:p>
            <w:pPr>
              <w:adjustRightInd w:val="0"/>
              <w:snapToGrid w:val="0"/>
              <w:jc w:val="center"/>
              <w:rPr>
                <w:rFonts w:cs="宋体"/>
                <w:szCs w:val="21"/>
              </w:rPr>
            </w:pPr>
            <w:r>
              <w:rPr>
                <w:rFonts w:cs="宋体"/>
                <w:szCs w:val="21"/>
              </w:rPr>
              <w:t>GB 4789.2-2016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0" w:hRule="atLeast"/>
          <w:jc w:val="center"/>
        </w:trPr>
        <w:tc>
          <w:tcPr>
            <w:tcW w:w="737"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11</w:t>
            </w:r>
          </w:p>
        </w:tc>
        <w:tc>
          <w:tcPr>
            <w:tcW w:w="2775" w:type="dxa"/>
            <w:tcBorders>
              <w:top w:val="single" w:color="auto" w:sz="4" w:space="0"/>
              <w:bottom w:val="single" w:color="auto" w:sz="4" w:space="0"/>
            </w:tcBorders>
            <w:noWrap w:val="0"/>
            <w:vAlign w:val="center"/>
          </w:tcPr>
          <w:p>
            <w:pPr>
              <w:adjustRightInd w:val="0"/>
              <w:snapToGrid w:val="0"/>
              <w:jc w:val="center"/>
              <w:rPr>
                <w:rFonts w:cs="宋体"/>
                <w:szCs w:val="21"/>
              </w:rPr>
            </w:pPr>
            <w:r>
              <w:rPr>
                <w:rFonts w:hint="eastAsia" w:cs="宋体"/>
                <w:szCs w:val="21"/>
              </w:rPr>
              <w:t>大肠菌群</w:t>
            </w:r>
          </w:p>
        </w:tc>
        <w:tc>
          <w:tcPr>
            <w:tcW w:w="2695" w:type="dxa"/>
            <w:noWrap w:val="0"/>
            <w:vAlign w:val="center"/>
          </w:tcPr>
          <w:p>
            <w:pPr>
              <w:widowControl/>
              <w:jc w:val="center"/>
              <w:textAlignment w:val="center"/>
              <w:rPr>
                <w:rFonts w:cs="宋体"/>
                <w:szCs w:val="21"/>
              </w:rPr>
            </w:pPr>
            <w:r>
              <w:rPr>
                <w:rFonts w:hint="eastAsia" w:cs="宋体"/>
                <w:szCs w:val="21"/>
              </w:rPr>
              <w:t>GB 14930.1</w:t>
            </w:r>
          </w:p>
        </w:tc>
        <w:tc>
          <w:tcPr>
            <w:tcW w:w="2796" w:type="dxa"/>
            <w:noWrap w:val="0"/>
            <w:vAlign w:val="center"/>
          </w:tcPr>
          <w:p>
            <w:pPr>
              <w:adjustRightInd w:val="0"/>
              <w:snapToGrid w:val="0"/>
              <w:jc w:val="center"/>
              <w:rPr>
                <w:rFonts w:cs="宋体"/>
                <w:szCs w:val="21"/>
              </w:rPr>
            </w:pPr>
            <w:r>
              <w:rPr>
                <w:rFonts w:cs="宋体"/>
                <w:szCs w:val="21"/>
              </w:rPr>
              <w:t>GB 4789.3-2016</w:t>
            </w:r>
          </w:p>
        </w:tc>
      </w:tr>
    </w:tbl>
    <w:p>
      <w:pPr>
        <w:adjustRightInd w:val="0"/>
        <w:snapToGrid w:val="0"/>
        <w:spacing w:line="360" w:lineRule="auto"/>
        <w:ind w:firstLine="420" w:firstLineChars="200"/>
        <w:rPr>
          <w:color w:val="000000"/>
          <w:szCs w:val="21"/>
        </w:rPr>
      </w:pPr>
      <w:r>
        <w:rPr>
          <w:rFonts w:hint="eastAsia"/>
          <w:color w:val="000000"/>
          <w:szCs w:val="21"/>
        </w:rPr>
        <w:t>执行企业标准、团体标准、地方标准的产品，检验项目参照上述内容执行。</w:t>
      </w:r>
    </w:p>
    <w:p>
      <w:pPr>
        <w:snapToGrid w:val="0"/>
        <w:spacing w:line="360" w:lineRule="auto"/>
        <w:ind w:firstLine="359" w:firstLineChars="171"/>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napToGrid w:val="0"/>
        <w:spacing w:line="360" w:lineRule="auto"/>
        <w:rPr>
          <w:b/>
          <w:color w:val="000000"/>
          <w:sz w:val="24"/>
        </w:rPr>
      </w:pPr>
      <w:r>
        <w:rPr>
          <w:rFonts w:hint="eastAsia"/>
          <w:b/>
          <w:color w:val="000000"/>
          <w:sz w:val="24"/>
        </w:rPr>
        <w:t>3、判定规则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14930.1-2015 食品安全国家标准 洗涤剂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9985-2000 手洗餐具用洗涤剂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依据GB 4789.1-2016 《食品安全国家标准 食品微生物学检验 总则》第7.3条规定“检验结果报告后，剩余样品和同批产品不进行微生物项目的复检”和卫健委“卫监督发[2005]515号”《健康相关产品国家卫生监督抽检规定》第十九条：“产品微生物指标超标的不予复检”的规定，微生物指标不合格不进行复检。</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5841799"/>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613B7"/>
    <w:rsid w:val="000D2893"/>
    <w:rsid w:val="00326443"/>
    <w:rsid w:val="004C63E8"/>
    <w:rsid w:val="004D2989"/>
    <w:rsid w:val="005D1733"/>
    <w:rsid w:val="006F09C0"/>
    <w:rsid w:val="00997189"/>
    <w:rsid w:val="009E2642"/>
    <w:rsid w:val="00DE7E70"/>
    <w:rsid w:val="00E613B7"/>
    <w:rsid w:val="420D409C"/>
    <w:rsid w:val="76392A58"/>
    <w:rsid w:val="78173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227</Words>
  <Characters>1294</Characters>
  <Lines>10</Lines>
  <Paragraphs>3</Paragraphs>
  <TotalTime>0</TotalTime>
  <ScaleCrop>false</ScaleCrop>
  <LinksUpToDate>false</LinksUpToDate>
  <CharactersWithSpaces>1518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2019-07-12T00:28:00Z</dcterms:created>
  <dc:creator>陈卓辉</dc:creator>
  <cp:lastModifiedBy>陈卓辉</cp:lastModifiedBy>
  <dcterms:modified xsi:type="dcterms:W3CDTF">2021-07-12T04:43:56Z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